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E9" w:rsidRDefault="00C260E9" w:rsidP="00EE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260E9">
        <w:rPr>
          <w:rFonts w:ascii="Times New Roman" w:hAnsi="Times New Roman" w:cs="Times New Roman"/>
          <w:b/>
          <w:bCs/>
          <w:sz w:val="24"/>
          <w:szCs w:val="24"/>
        </w:rPr>
        <w:t>PROGRAMA DE AUTOMONITORAMENTO</w:t>
      </w:r>
    </w:p>
    <w:bookmarkEnd w:id="0"/>
    <w:p w:rsidR="00C260E9" w:rsidRPr="00C260E9" w:rsidRDefault="00C260E9" w:rsidP="00C2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0510" w:rsidRPr="00F146F9" w:rsidRDefault="00240510" w:rsidP="00F146F9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F146F9">
        <w:rPr>
          <w:rFonts w:ascii="Times New Roman" w:eastAsia="Arial" w:hAnsi="Times New Roman"/>
          <w:sz w:val="24"/>
          <w:szCs w:val="24"/>
        </w:rPr>
        <w:t>INTRODUÇÃO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do Programa de Automonitoramento para empreendimentos de Serviços - </w:t>
      </w:r>
      <w:r w:rsidRPr="00F146F9">
        <w:rPr>
          <w:rFonts w:ascii="Times New Roman" w:hAnsi="Times New Roman" w:cs="Times New Roman"/>
          <w:b/>
          <w:bCs/>
          <w:sz w:val="24"/>
          <w:szCs w:val="24"/>
        </w:rPr>
        <w:t>Posto de Combustível</w:t>
      </w:r>
      <w:r w:rsidRPr="00F146F9">
        <w:rPr>
          <w:rFonts w:ascii="Times New Roman" w:hAnsi="Times New Roman" w:cs="Times New Roman"/>
          <w:sz w:val="24"/>
          <w:szCs w:val="24"/>
        </w:rPr>
        <w:t>, a ser apresentado, pelos empreendedores a Secretaria de Meio Ambiente com vistas à complementação das informações técnicas e ambientais nos processos de licenciamento de empreendimentos de Postos de Combustíveis (Pequeno Porte), que se enquadram na Resolução CONAMA n.º273/2000 e Resolução COEMA n.º 007/2005.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Devem constar no Programa:</w:t>
      </w:r>
    </w:p>
    <w:p w:rsidR="00C260E9" w:rsidRPr="00F146F9" w:rsidRDefault="00F146F9" w:rsidP="00F146F9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F146F9">
        <w:rPr>
          <w:rFonts w:ascii="Times New Roman" w:hAnsi="Times New Roman"/>
          <w:sz w:val="24"/>
          <w:szCs w:val="24"/>
        </w:rPr>
        <w:t>VAZAMENTO DE COMBUSTÍVEIS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Realizar teste de estanqueidade dos tanques e tubulações anualmente para tanques com mais de 10 anos de uso e a cada 2 anos para tanques com menos de 10 anos, de acordo com a norma técnica NBR nº 13.384 . Os certificados técnicos relatando a situação dos equipamentos deverão ser arquivados no empreendimento para apresentação à fiscalização da Secretaria de Meio Ambiente.</w:t>
      </w:r>
    </w:p>
    <w:p w:rsidR="00C260E9" w:rsidRPr="00F146F9" w:rsidRDefault="00240510" w:rsidP="00F146F9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F146F9">
        <w:rPr>
          <w:rFonts w:ascii="Times New Roman" w:hAnsi="Times New Roman"/>
          <w:sz w:val="24"/>
          <w:szCs w:val="24"/>
        </w:rPr>
        <w:t>EFLUENTES LÍQUIDOS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6F9">
        <w:rPr>
          <w:rFonts w:ascii="Times New Roman" w:hAnsi="Times New Roman" w:cs="Times New Roman"/>
          <w:b/>
          <w:bCs/>
          <w:sz w:val="24"/>
          <w:szCs w:val="24"/>
        </w:rPr>
        <w:t>Local de amostragem Parâmetro Frequência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240510" w:rsidTr="00240510">
        <w:tc>
          <w:tcPr>
            <w:tcW w:w="2975" w:type="dxa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 de amostragem</w:t>
            </w:r>
          </w:p>
        </w:tc>
        <w:tc>
          <w:tcPr>
            <w:tcW w:w="2976" w:type="dxa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Parâmetro</w:t>
            </w:r>
          </w:p>
        </w:tc>
        <w:tc>
          <w:tcPr>
            <w:tcW w:w="2976" w:type="dxa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Frequência</w:t>
            </w:r>
          </w:p>
        </w:tc>
      </w:tr>
      <w:tr w:rsidR="00240510" w:rsidTr="00240510">
        <w:tc>
          <w:tcPr>
            <w:tcW w:w="2975" w:type="dxa"/>
            <w:vMerge w:val="restart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Cs/>
                <w:sz w:val="20"/>
                <w:szCs w:val="20"/>
              </w:rPr>
              <w:t>Entrada e saída do sistema de caixa separadora de água e óleo</w:t>
            </w:r>
          </w:p>
        </w:tc>
        <w:tc>
          <w:tcPr>
            <w:tcW w:w="2976" w:type="dxa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Cs/>
                <w:sz w:val="20"/>
                <w:szCs w:val="20"/>
              </w:rPr>
              <w:t>pH, sólidos sedimentáveis, vazão média</w:t>
            </w:r>
          </w:p>
        </w:tc>
        <w:tc>
          <w:tcPr>
            <w:tcW w:w="2976" w:type="dxa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Cs/>
                <w:sz w:val="20"/>
                <w:szCs w:val="20"/>
              </w:rPr>
              <w:t>Conforme projeto</w:t>
            </w:r>
          </w:p>
        </w:tc>
      </w:tr>
      <w:tr w:rsidR="00240510" w:rsidTr="00240510">
        <w:tc>
          <w:tcPr>
            <w:tcW w:w="2975" w:type="dxa"/>
            <w:vMerge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Cs/>
                <w:sz w:val="20"/>
                <w:szCs w:val="20"/>
              </w:rPr>
              <w:t>DBO, DQO, sólidos em suspensão, óleos e graxas e detergentes</w:t>
            </w:r>
          </w:p>
        </w:tc>
        <w:tc>
          <w:tcPr>
            <w:tcW w:w="2976" w:type="dxa"/>
            <w:vAlign w:val="center"/>
          </w:tcPr>
          <w:p w:rsidR="00240510" w:rsidRPr="00F146F9" w:rsidRDefault="00240510" w:rsidP="0024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bCs/>
                <w:sz w:val="20"/>
                <w:szCs w:val="20"/>
              </w:rPr>
              <w:t>Conforme projeto</w:t>
            </w:r>
          </w:p>
        </w:tc>
      </w:tr>
    </w:tbl>
    <w:p w:rsidR="00240510" w:rsidRDefault="00240510" w:rsidP="00C2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0E9" w:rsidRPr="00F146F9" w:rsidRDefault="00C260E9" w:rsidP="00F146F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 xml:space="preserve">Método de análise: Normas aprovadas pelo INMETRO ou, na ausência delas, no </w:t>
      </w:r>
      <w:r w:rsidRPr="00F146F9">
        <w:rPr>
          <w:rFonts w:ascii="Times New Roman" w:hAnsi="Times New Roman" w:cs="Times New Roman"/>
          <w:i/>
          <w:iCs/>
          <w:sz w:val="24"/>
          <w:szCs w:val="24"/>
        </w:rPr>
        <w:t xml:space="preserve">Standard </w:t>
      </w:r>
      <w:r w:rsidRPr="00F146F9">
        <w:rPr>
          <w:rFonts w:ascii="Times New Roman" w:hAnsi="Times New Roman" w:cs="Times New Roman"/>
          <w:sz w:val="24"/>
          <w:szCs w:val="24"/>
        </w:rPr>
        <w:t>Methods for Examination of Water and Wastewater APHA – AWWA, última edição.</w:t>
      </w:r>
    </w:p>
    <w:p w:rsidR="00C260E9" w:rsidRPr="00F146F9" w:rsidRDefault="00C260E9" w:rsidP="00F146F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O lançamento de efluentes líquidos em corpos receptores deverá obedecer ao disposto na Resolução CONAMA nº 357/2005 e NBR 13969/97.</w:t>
      </w:r>
    </w:p>
    <w:p w:rsidR="00C260E9" w:rsidRPr="00F146F9" w:rsidRDefault="00240510" w:rsidP="00F146F9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F146F9">
        <w:rPr>
          <w:rFonts w:ascii="Times New Roman" w:hAnsi="Times New Roman"/>
          <w:sz w:val="24"/>
          <w:szCs w:val="24"/>
        </w:rPr>
        <w:t>RESÍDUOS SÓLIDOS E OLEOSOS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Deverão ser confeccionadas planilhas mensais de controle da geração e disposição dos resíduos sólidos e oleosos gerados, contendo, no mínimo, os dados do modelo abaixo, bem como a identificação, registro profissional e a assinatura do responsável técnico pelas informações, as quais serão mantidas no empreendimento para apresentação à fiscalização da Secretaria de Meio Ambiente.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Modelo da planilha de controle de resíduos: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8"/>
        <w:gridCol w:w="1488"/>
        <w:gridCol w:w="1488"/>
      </w:tblGrid>
      <w:tr w:rsidR="00240510" w:rsidRPr="00F146F9" w:rsidTr="00F146F9">
        <w:trPr>
          <w:jc w:val="center"/>
        </w:trPr>
        <w:tc>
          <w:tcPr>
            <w:tcW w:w="2975" w:type="dxa"/>
            <w:gridSpan w:val="2"/>
            <w:vAlign w:val="center"/>
          </w:tcPr>
          <w:p w:rsidR="00240510" w:rsidRPr="00F146F9" w:rsidRDefault="00240510" w:rsidP="00F14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sz w:val="20"/>
                <w:szCs w:val="20"/>
              </w:rPr>
              <w:t>Resíduo</w:t>
            </w:r>
          </w:p>
        </w:tc>
        <w:tc>
          <w:tcPr>
            <w:tcW w:w="1488" w:type="dxa"/>
            <w:vMerge w:val="restart"/>
            <w:vAlign w:val="center"/>
          </w:tcPr>
          <w:p w:rsidR="00240510" w:rsidRPr="00F146F9" w:rsidRDefault="00240510" w:rsidP="00F14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sz w:val="20"/>
                <w:szCs w:val="20"/>
              </w:rPr>
              <w:t xml:space="preserve">Taxa de </w:t>
            </w: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geração no período</w:t>
            </w:r>
          </w:p>
        </w:tc>
        <w:tc>
          <w:tcPr>
            <w:tcW w:w="1488" w:type="dxa"/>
            <w:vMerge w:val="restart"/>
            <w:vAlign w:val="center"/>
          </w:tcPr>
          <w:p w:rsidR="00240510" w:rsidRPr="00F146F9" w:rsidRDefault="00240510" w:rsidP="00F14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Transportador </w:t>
            </w: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(nome, endereço, telefone)</w:t>
            </w:r>
          </w:p>
        </w:tc>
        <w:tc>
          <w:tcPr>
            <w:tcW w:w="1488" w:type="dxa"/>
            <w:vMerge w:val="restart"/>
            <w:vAlign w:val="center"/>
          </w:tcPr>
          <w:p w:rsidR="00240510" w:rsidRPr="00F146F9" w:rsidRDefault="00240510" w:rsidP="00F14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Empresa </w:t>
            </w: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receptora (nome, endereço, telefone)</w:t>
            </w:r>
          </w:p>
        </w:tc>
        <w:tc>
          <w:tcPr>
            <w:tcW w:w="1488" w:type="dxa"/>
            <w:vMerge w:val="restart"/>
            <w:vAlign w:val="center"/>
          </w:tcPr>
          <w:p w:rsidR="00240510" w:rsidRPr="00F146F9" w:rsidRDefault="00240510" w:rsidP="00F14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Forma de </w:t>
            </w: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disposição final (*)</w:t>
            </w:r>
          </w:p>
        </w:tc>
      </w:tr>
      <w:tr w:rsidR="00240510" w:rsidRPr="00F146F9" w:rsidTr="00F146F9">
        <w:trPr>
          <w:jc w:val="center"/>
        </w:trPr>
        <w:tc>
          <w:tcPr>
            <w:tcW w:w="1487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Degradação </w:t>
            </w:r>
          </w:p>
        </w:tc>
        <w:tc>
          <w:tcPr>
            <w:tcW w:w="1488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6F9">
              <w:rPr>
                <w:rFonts w:ascii="Times New Roman" w:hAnsi="Times New Roman" w:cs="Times New Roman"/>
                <w:sz w:val="20"/>
                <w:szCs w:val="20"/>
              </w:rPr>
              <w:t xml:space="preserve">Origem </w:t>
            </w:r>
          </w:p>
        </w:tc>
        <w:tc>
          <w:tcPr>
            <w:tcW w:w="1488" w:type="dxa"/>
            <w:vMerge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10" w:rsidRPr="00F146F9" w:rsidTr="00F146F9">
        <w:trPr>
          <w:jc w:val="center"/>
        </w:trPr>
        <w:tc>
          <w:tcPr>
            <w:tcW w:w="1487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240510" w:rsidRPr="00F146F9" w:rsidRDefault="00240510" w:rsidP="00C26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(*) 1- Reutilização 2 – Reciclagem 3 - Aterro sanitário 4 - Aterro industrial 5 – Incineração 6 - Co-processamento 7 - Aplicação no solo 8 - Estocagem temporária (informar quantidade estocada) 9 – Re-refino de óleo 10 - Outras (especificar)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0E9" w:rsidRPr="00F146F9" w:rsidRDefault="00C260E9" w:rsidP="00F146F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As notas fiscais de vendas e/ou movimentação de resíduos deverão ser mantidas disponíveis pelo empreendedor para fins de fiscalização.</w:t>
      </w:r>
    </w:p>
    <w:p w:rsidR="00C260E9" w:rsidRPr="00F146F9" w:rsidRDefault="00C260E9" w:rsidP="00F146F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As doações de resíduos deverão possuir anuência prévia do órgão ambiental.</w:t>
      </w:r>
    </w:p>
    <w:p w:rsidR="00C260E9" w:rsidRPr="00F146F9" w:rsidRDefault="00C260E9" w:rsidP="00F146F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Fica proibida a destinação dos resíduos sólidos e oleosos, considerados como Resíduos Classe-1 segundo a NBR 10.004/87, em lixões, bota-fora e/ou aterros sanitários, devendo o empreendedor cumprir as diretrizes fixadas pela Resolução</w:t>
      </w:r>
    </w:p>
    <w:p w:rsidR="00C260E9" w:rsidRPr="00F146F9" w:rsidRDefault="00C260E9" w:rsidP="00F146F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CONAMA 362/2005 em relação ao óleo lubrificante usado.</w:t>
      </w:r>
    </w:p>
    <w:p w:rsidR="00C260E9" w:rsidRPr="00F146F9" w:rsidRDefault="00C260E9" w:rsidP="00F146F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O empreendedor deverá cumprir o disposto nas normas ambientais e técnicas aplicáveis para resíduos sólidos, enquadrados nas Classes 2 e 3 segundo a NBR 10.004/87, Resolução CONAMA nº 307/2002 e NBR 13896/97.</w:t>
      </w:r>
    </w:p>
    <w:p w:rsidR="00C260E9" w:rsidRPr="00F146F9" w:rsidRDefault="00240510" w:rsidP="00F146F9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F146F9">
        <w:rPr>
          <w:rFonts w:ascii="Times New Roman" w:hAnsi="Times New Roman"/>
          <w:sz w:val="24"/>
          <w:szCs w:val="24"/>
        </w:rPr>
        <w:t>EFLUENTES ATMOSFÉRICOS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Efetuar anualmente a manutenção das válvulas de retenção de gases instaladas nos respiros dos tanques.</w:t>
      </w:r>
    </w:p>
    <w:p w:rsidR="00C260E9" w:rsidRPr="00F146F9" w:rsidRDefault="00240510" w:rsidP="00F146F9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F146F9">
        <w:rPr>
          <w:rFonts w:ascii="Times New Roman" w:hAnsi="Times New Roman"/>
          <w:sz w:val="24"/>
          <w:szCs w:val="24"/>
        </w:rPr>
        <w:t>POLUIÇÃO SONORA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Cumprir as exigências da Resolução CONAMA 01/90 e os limites fixados pela NBR 10151, em relação aos níveis de ruído emitidos pelas instalações e equipamentos do empreendimento.</w:t>
      </w:r>
    </w:p>
    <w:p w:rsidR="00C260E9" w:rsidRPr="00F146F9" w:rsidRDefault="00C260E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E9" w:rsidRPr="00F146F9" w:rsidRDefault="00F146F9" w:rsidP="00F14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b/>
          <w:bCs/>
          <w:sz w:val="24"/>
          <w:szCs w:val="24"/>
        </w:rPr>
        <w:t>Importante</w:t>
      </w:r>
      <w:r w:rsidRPr="00F146F9">
        <w:rPr>
          <w:rFonts w:ascii="Times New Roman" w:hAnsi="Times New Roman" w:cs="Times New Roman"/>
          <w:sz w:val="24"/>
          <w:szCs w:val="24"/>
        </w:rPr>
        <w:t>:</w:t>
      </w:r>
    </w:p>
    <w:p w:rsidR="00C260E9" w:rsidRPr="00F146F9" w:rsidRDefault="00C260E9" w:rsidP="00F146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Os parâmetros e frequências especificadas para o Programa de Automonitorização poderão sofrer alterações a critério da área técnica da Secretaria de Meio Ambiente, face ao desempenho apresentado pelos sistemas de tratamento de efluentes e/ou proteção contra vazamentos, derramamentos ou transbordamento de combustíveis;</w:t>
      </w:r>
    </w:p>
    <w:p w:rsidR="00C260E9" w:rsidRPr="00F146F9" w:rsidRDefault="00C260E9" w:rsidP="00F146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Os relatórios de Monitoramento deverão ser acompanhados da anotação de responsabilidade técnica - ART, emitida pelo(s) responsável(eis) t</w:t>
      </w:r>
      <w:r w:rsidR="00F146F9" w:rsidRPr="00F146F9">
        <w:rPr>
          <w:rFonts w:ascii="Times New Roman" w:hAnsi="Times New Roman" w:cs="Times New Roman"/>
          <w:sz w:val="24"/>
          <w:szCs w:val="24"/>
        </w:rPr>
        <w:t>écnico(s)</w:t>
      </w:r>
      <w:r w:rsidRPr="00F146F9">
        <w:rPr>
          <w:rFonts w:ascii="Times New Roman" w:hAnsi="Times New Roman" w:cs="Times New Roman"/>
          <w:sz w:val="24"/>
          <w:szCs w:val="24"/>
        </w:rPr>
        <w:t>, devidamente habilitado(s) ;</w:t>
      </w:r>
    </w:p>
    <w:p w:rsidR="00C260E9" w:rsidRPr="00F146F9" w:rsidRDefault="00C260E9" w:rsidP="00F146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O contrato com a empresa coletora dos resíduos oleaginosos e cópia das notas fiscais deverão ser protocoladas junto a Secretaria de Meio Ambiente para devido acompanhamento pelo Monitoramento Ambiental;</w:t>
      </w:r>
    </w:p>
    <w:p w:rsidR="00C260E9" w:rsidRPr="00F146F9" w:rsidRDefault="00C260E9" w:rsidP="00F146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F9">
        <w:rPr>
          <w:rFonts w:ascii="Times New Roman" w:hAnsi="Times New Roman" w:cs="Times New Roman"/>
          <w:sz w:val="24"/>
          <w:szCs w:val="24"/>
        </w:rPr>
        <w:t>Qualquer mudança promovida nos dados cadastrais do empreendimento deverá ser previamente informada e documentada.</w:t>
      </w:r>
    </w:p>
    <w:sectPr w:rsidR="00C260E9" w:rsidRPr="00F146F9" w:rsidSect="00240510">
      <w:headerReference w:type="default" r:id="rId8"/>
      <w:footerReference w:type="default" r:id="rId9"/>
      <w:pgSz w:w="11906" w:h="16838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92" w:rsidRDefault="008E3092" w:rsidP="00DD0396">
      <w:pPr>
        <w:spacing w:after="0" w:line="240" w:lineRule="auto"/>
      </w:pPr>
      <w:r>
        <w:separator/>
      </w:r>
    </w:p>
  </w:endnote>
  <w:endnote w:type="continuationSeparator" w:id="0">
    <w:p w:rsidR="008E3092" w:rsidRDefault="008E3092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3"/>
      <w:gridCol w:w="177"/>
      <w:gridCol w:w="4287"/>
    </w:tblGrid>
    <w:tr w:rsidR="00240510" w:rsidRPr="00AB540B" w:rsidTr="00453709">
      <w:trPr>
        <w:trHeight w:val="1144"/>
      </w:trPr>
      <w:tc>
        <w:tcPr>
          <w:tcW w:w="2500" w:type="pct"/>
        </w:tcPr>
        <w:p w:rsidR="00240510" w:rsidRPr="00ED5563" w:rsidRDefault="00240510" w:rsidP="0024051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240510" w:rsidRPr="00ED5563" w:rsidRDefault="00240510" w:rsidP="0024051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240510" w:rsidRPr="00ED5563" w:rsidRDefault="00240510" w:rsidP="0024051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240510" w:rsidRPr="00F6700D" w:rsidRDefault="00240510" w:rsidP="0024051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240510" w:rsidRPr="00AB540B" w:rsidRDefault="00240510" w:rsidP="00240510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240510" w:rsidRPr="00AB540B" w:rsidRDefault="00240510" w:rsidP="00240510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42DF6B91" wp14:editId="102E6176">
                <wp:extent cx="2159000" cy="62230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DB0" w:rsidRDefault="00240510" w:rsidP="00240510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E4E0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E4E0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92" w:rsidRDefault="008E3092" w:rsidP="00DD0396">
      <w:pPr>
        <w:spacing w:after="0" w:line="240" w:lineRule="auto"/>
      </w:pPr>
      <w:r>
        <w:separator/>
      </w:r>
    </w:p>
  </w:footnote>
  <w:footnote w:type="continuationSeparator" w:id="0">
    <w:p w:rsidR="008E3092" w:rsidRDefault="008E3092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510" w:rsidRDefault="00240510" w:rsidP="00240510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4E2B4403" wp14:editId="6CDCF3D0">
          <wp:extent cx="791210" cy="791210"/>
          <wp:effectExtent l="0" t="0" r="8890" b="8890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510" w:rsidRDefault="00240510" w:rsidP="0024051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240510" w:rsidRDefault="00240510" w:rsidP="0024051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20DB0" w:rsidRPr="00EE4E02" w:rsidRDefault="00240510" w:rsidP="00EE4E02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267F"/>
    <w:multiLevelType w:val="hybridMultilevel"/>
    <w:tmpl w:val="3E78F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E740F"/>
    <w:multiLevelType w:val="hybridMultilevel"/>
    <w:tmpl w:val="74D224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865B2"/>
    <w:multiLevelType w:val="hybridMultilevel"/>
    <w:tmpl w:val="5CFEDB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94D92"/>
    <w:multiLevelType w:val="hybridMultilevel"/>
    <w:tmpl w:val="3198FD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7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16"/>
  </w:num>
  <w:num w:numId="9">
    <w:abstractNumId w:val="21"/>
  </w:num>
  <w:num w:numId="10">
    <w:abstractNumId w:val="18"/>
  </w:num>
  <w:num w:numId="11">
    <w:abstractNumId w:val="25"/>
  </w:num>
  <w:num w:numId="12">
    <w:abstractNumId w:val="26"/>
  </w:num>
  <w:num w:numId="13">
    <w:abstractNumId w:val="10"/>
  </w:num>
  <w:num w:numId="14">
    <w:abstractNumId w:val="31"/>
  </w:num>
  <w:num w:numId="15">
    <w:abstractNumId w:val="22"/>
  </w:num>
  <w:num w:numId="16">
    <w:abstractNumId w:val="33"/>
  </w:num>
  <w:num w:numId="17">
    <w:abstractNumId w:val="6"/>
  </w:num>
  <w:num w:numId="18">
    <w:abstractNumId w:val="24"/>
  </w:num>
  <w:num w:numId="19">
    <w:abstractNumId w:val="0"/>
  </w:num>
  <w:num w:numId="20">
    <w:abstractNumId w:val="14"/>
  </w:num>
  <w:num w:numId="21">
    <w:abstractNumId w:val="4"/>
  </w:num>
  <w:num w:numId="22">
    <w:abstractNumId w:val="28"/>
  </w:num>
  <w:num w:numId="23">
    <w:abstractNumId w:val="19"/>
  </w:num>
  <w:num w:numId="24">
    <w:abstractNumId w:val="5"/>
  </w:num>
  <w:num w:numId="25">
    <w:abstractNumId w:val="27"/>
  </w:num>
  <w:num w:numId="26">
    <w:abstractNumId w:val="32"/>
  </w:num>
  <w:num w:numId="27">
    <w:abstractNumId w:val="20"/>
  </w:num>
  <w:num w:numId="28">
    <w:abstractNumId w:val="23"/>
  </w:num>
  <w:num w:numId="29">
    <w:abstractNumId w:val="15"/>
  </w:num>
  <w:num w:numId="30">
    <w:abstractNumId w:val="13"/>
  </w:num>
  <w:num w:numId="31">
    <w:abstractNumId w:val="3"/>
  </w:num>
  <w:num w:numId="32">
    <w:abstractNumId w:val="30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A7798"/>
    <w:rsid w:val="000E0924"/>
    <w:rsid w:val="000E19A6"/>
    <w:rsid w:val="000E1B02"/>
    <w:rsid w:val="000E5C4B"/>
    <w:rsid w:val="001121A2"/>
    <w:rsid w:val="00112D48"/>
    <w:rsid w:val="0011698B"/>
    <w:rsid w:val="001771CF"/>
    <w:rsid w:val="00187638"/>
    <w:rsid w:val="001A78E0"/>
    <w:rsid w:val="001C3DED"/>
    <w:rsid w:val="001F1E1A"/>
    <w:rsid w:val="001F4B3A"/>
    <w:rsid w:val="002162EB"/>
    <w:rsid w:val="00231B24"/>
    <w:rsid w:val="00240510"/>
    <w:rsid w:val="0025139D"/>
    <w:rsid w:val="00264A25"/>
    <w:rsid w:val="00276037"/>
    <w:rsid w:val="002A7F62"/>
    <w:rsid w:val="002D3ED3"/>
    <w:rsid w:val="003020C5"/>
    <w:rsid w:val="00312A79"/>
    <w:rsid w:val="0036412F"/>
    <w:rsid w:val="00380ACF"/>
    <w:rsid w:val="003A320B"/>
    <w:rsid w:val="003B3DBD"/>
    <w:rsid w:val="003B6391"/>
    <w:rsid w:val="003C3A8E"/>
    <w:rsid w:val="003D4E22"/>
    <w:rsid w:val="003F4488"/>
    <w:rsid w:val="0041052D"/>
    <w:rsid w:val="0042613F"/>
    <w:rsid w:val="004347E6"/>
    <w:rsid w:val="004547A5"/>
    <w:rsid w:val="0045552A"/>
    <w:rsid w:val="00474B77"/>
    <w:rsid w:val="0049143B"/>
    <w:rsid w:val="004927D0"/>
    <w:rsid w:val="004A7687"/>
    <w:rsid w:val="004D3D56"/>
    <w:rsid w:val="005645F2"/>
    <w:rsid w:val="00597962"/>
    <w:rsid w:val="005A1EC9"/>
    <w:rsid w:val="005B4BB2"/>
    <w:rsid w:val="00612850"/>
    <w:rsid w:val="00612EA0"/>
    <w:rsid w:val="006265C7"/>
    <w:rsid w:val="006461FD"/>
    <w:rsid w:val="00667B3E"/>
    <w:rsid w:val="006A331B"/>
    <w:rsid w:val="006A7E90"/>
    <w:rsid w:val="006B1431"/>
    <w:rsid w:val="006B7EA1"/>
    <w:rsid w:val="006E7F22"/>
    <w:rsid w:val="00732115"/>
    <w:rsid w:val="00750134"/>
    <w:rsid w:val="00780EE1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8E3092"/>
    <w:rsid w:val="00914C50"/>
    <w:rsid w:val="00916445"/>
    <w:rsid w:val="00925DAC"/>
    <w:rsid w:val="009926B1"/>
    <w:rsid w:val="009D3222"/>
    <w:rsid w:val="009D5B21"/>
    <w:rsid w:val="00A63C3B"/>
    <w:rsid w:val="00A656B2"/>
    <w:rsid w:val="00A66F5F"/>
    <w:rsid w:val="00A71E05"/>
    <w:rsid w:val="00B001FE"/>
    <w:rsid w:val="00B05F11"/>
    <w:rsid w:val="00B140C5"/>
    <w:rsid w:val="00B15DB2"/>
    <w:rsid w:val="00BE021A"/>
    <w:rsid w:val="00BF46F9"/>
    <w:rsid w:val="00C260E9"/>
    <w:rsid w:val="00C55A8C"/>
    <w:rsid w:val="00C61BDA"/>
    <w:rsid w:val="00C62AA2"/>
    <w:rsid w:val="00C66CCB"/>
    <w:rsid w:val="00CA2B42"/>
    <w:rsid w:val="00CA6A81"/>
    <w:rsid w:val="00CB6D4B"/>
    <w:rsid w:val="00CC02E2"/>
    <w:rsid w:val="00CC7A40"/>
    <w:rsid w:val="00D03D90"/>
    <w:rsid w:val="00D20DB0"/>
    <w:rsid w:val="00D55786"/>
    <w:rsid w:val="00D6050B"/>
    <w:rsid w:val="00DD0396"/>
    <w:rsid w:val="00DD721F"/>
    <w:rsid w:val="00DE26AB"/>
    <w:rsid w:val="00E0497E"/>
    <w:rsid w:val="00E13E15"/>
    <w:rsid w:val="00E47640"/>
    <w:rsid w:val="00E51EC4"/>
    <w:rsid w:val="00E54871"/>
    <w:rsid w:val="00E73F4C"/>
    <w:rsid w:val="00E87268"/>
    <w:rsid w:val="00EB7E67"/>
    <w:rsid w:val="00EC3F0D"/>
    <w:rsid w:val="00EE4E02"/>
    <w:rsid w:val="00F146F9"/>
    <w:rsid w:val="00F276E9"/>
    <w:rsid w:val="00F36DC2"/>
    <w:rsid w:val="00F374D1"/>
    <w:rsid w:val="00F5315D"/>
    <w:rsid w:val="00F7074E"/>
    <w:rsid w:val="00F91865"/>
    <w:rsid w:val="00FB4AD2"/>
    <w:rsid w:val="00FC2830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50F80-6FF6-40F1-AB5A-D1639DFB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0510"/>
    <w:pPr>
      <w:keepNext/>
      <w:numPr>
        <w:numId w:val="30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0510"/>
    <w:pPr>
      <w:keepNext/>
      <w:numPr>
        <w:ilvl w:val="1"/>
        <w:numId w:val="3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510"/>
    <w:pPr>
      <w:keepNext/>
      <w:numPr>
        <w:ilvl w:val="2"/>
        <w:numId w:val="3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0510"/>
    <w:pPr>
      <w:keepNext/>
      <w:numPr>
        <w:ilvl w:val="3"/>
        <w:numId w:val="3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0510"/>
    <w:pPr>
      <w:numPr>
        <w:ilvl w:val="4"/>
        <w:numId w:val="3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0510"/>
    <w:pPr>
      <w:numPr>
        <w:ilvl w:val="5"/>
        <w:numId w:val="3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0510"/>
    <w:pPr>
      <w:numPr>
        <w:ilvl w:val="6"/>
        <w:numId w:val="3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0510"/>
    <w:pPr>
      <w:numPr>
        <w:ilvl w:val="7"/>
        <w:numId w:val="3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0510"/>
    <w:pPr>
      <w:numPr>
        <w:ilvl w:val="8"/>
        <w:numId w:val="3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40510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4051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510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051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051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0510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0510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0510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0510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CA10-7684-435F-9EFD-ED08283F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29</cp:revision>
  <dcterms:created xsi:type="dcterms:W3CDTF">2017-01-26T11:57:00Z</dcterms:created>
  <dcterms:modified xsi:type="dcterms:W3CDTF">2019-05-24T11:19:00Z</dcterms:modified>
</cp:coreProperties>
</file>